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7630"/>
        <w:gridCol w:w="6590"/>
      </w:tblGrid>
      <w:tr w:rsidR="008337D9" w:rsidRPr="008337D9" w:rsidTr="003F281D">
        <w:tc>
          <w:tcPr>
            <w:tcW w:w="2683" w:type="pct"/>
            <w:shd w:val="clear" w:color="auto" w:fill="C6D9F1" w:themeFill="text2" w:themeFillTint="33"/>
          </w:tcPr>
          <w:p w:rsidR="008337D9" w:rsidRPr="0033425D" w:rsidRDefault="0033425D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3425D">
              <w:rPr>
                <w:rFonts w:ascii="Times New Roman" w:hAnsi="Times New Roman" w:cs="Times New Roman"/>
                <w:b/>
                <w:sz w:val="20"/>
                <w:u w:val="single"/>
              </w:rPr>
              <w:t>Priorytety Inwestycyjne w ramach RPO WK-P na lata 2014-2020, w ramach których mogą być realizowane projekty wpisane do Strategii ORSG Powiatu Wąbrzeskiego</w:t>
            </w:r>
            <w:r w:rsidR="003F281D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wraz z przykładowymi typami projektów</w:t>
            </w:r>
          </w:p>
        </w:tc>
        <w:tc>
          <w:tcPr>
            <w:tcW w:w="2317" w:type="pct"/>
            <w:shd w:val="clear" w:color="auto" w:fill="C6D9F1" w:themeFill="text2" w:themeFillTint="33"/>
          </w:tcPr>
          <w:p w:rsidR="008337D9" w:rsidRPr="0033425D" w:rsidRDefault="0033425D" w:rsidP="0033425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3425D">
              <w:rPr>
                <w:rFonts w:ascii="Times New Roman" w:hAnsi="Times New Roman" w:cs="Times New Roman"/>
                <w:b/>
                <w:sz w:val="20"/>
                <w:u w:val="single"/>
              </w:rPr>
              <w:t>Wskaźniki</w:t>
            </w:r>
          </w:p>
          <w:p w:rsidR="008337D9" w:rsidRPr="0033425D" w:rsidRDefault="008337D9" w:rsidP="0033425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8337D9" w:rsidRPr="0033425D" w:rsidRDefault="008337D9" w:rsidP="0033425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8337D9" w:rsidRPr="0033425D" w:rsidRDefault="008337D9" w:rsidP="0033425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  <w:p w:rsidR="008337D9" w:rsidRPr="0033425D" w:rsidRDefault="008337D9" w:rsidP="0033425D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</w:p>
        </w:tc>
      </w:tr>
      <w:tr w:rsidR="0033425D" w:rsidRPr="008337D9" w:rsidTr="0033425D">
        <w:tc>
          <w:tcPr>
            <w:tcW w:w="5000" w:type="pct"/>
            <w:gridSpan w:val="2"/>
            <w:shd w:val="clear" w:color="auto" w:fill="F2F2F2" w:themeFill="background1" w:themeFillShade="F2"/>
          </w:tcPr>
          <w:p w:rsidR="0033425D" w:rsidRPr="0033425D" w:rsidRDefault="0033425D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425D">
              <w:rPr>
                <w:rFonts w:ascii="Times New Roman" w:hAnsi="Times New Roman" w:cs="Times New Roman"/>
                <w:b/>
                <w:sz w:val="20"/>
              </w:rPr>
              <w:t>Europejski Fundusz Rozwoju Regionalnego:</w:t>
            </w: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t>PI 4c Wspieranie efektywności energetycznej, inteligentnego zarządzania energią i wykorzystywania odnawialnych źródeł energii w budynkach publicznych, i w sektorze mieszkaniowym</w:t>
            </w:r>
          </w:p>
          <w:p w:rsidR="006E0FC0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realizacja zadań musi wynikać z planu gospodarki niskoemisyjnej </w:t>
            </w:r>
          </w:p>
          <w:p w:rsidR="006E0FC0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 działanie to dotyczy budynków użyteczności publicznej i wielorodzinnych budynków mieszkaniowych </w:t>
            </w:r>
          </w:p>
          <w:p w:rsidR="008337D9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 wspierane będą działania polegające na kompleksowej modernizacji energetycznej</w:t>
            </w:r>
          </w:p>
          <w:p w:rsidR="006E0FC0" w:rsidRPr="008337D9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zmniejszenie efektywności energetyczne pow.30%, preferowane projekty pow. 60%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Zmniejszenie sprzedaży energii cieplnej na cele komunalno-bytowe – GJ/rok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gospodarstw domowych z lepszą klasą zużycia energii – szt.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Zmniejszenie rocznego zużycia energii pierwotnej w budynkach publicznych – kWh/rok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Szacowany roczny spadek emisji gazów cieplarnianych – Mg CO</w:t>
            </w:r>
            <w:r w:rsidRPr="008337D9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8337D9">
              <w:rPr>
                <w:rFonts w:ascii="Times New Roman" w:hAnsi="Times New Roman" w:cs="Times New Roman"/>
                <w:sz w:val="20"/>
              </w:rPr>
              <w:t>/rok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 xml:space="preserve">Liczba zmodernizowanych energetycznie budynków – szt. </w:t>
            </w:r>
          </w:p>
          <w:p w:rsidR="008337D9" w:rsidRPr="008337D9" w:rsidRDefault="008337D9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t>PI 4e Promowanie strategii niskoemisyjnych dla wszystkich rodzajów terytoriów, w szczególności dla obszarów miejskich, w tym wspieranie zrównoważonej multimodalnej mobilności miejskiej i działań adaptacyjnych mających oddziaływanie łagodzące na zmiany klimatu.</w:t>
            </w:r>
          </w:p>
          <w:p w:rsidR="006E0FC0" w:rsidRPr="008337D9" w:rsidRDefault="006E0FC0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 realizacja zadań musi wynikać z planu gospodarki niskoemisyjnej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6E0FC0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>projekty z zakresu zrównoważonej mobilności miejskiej w tym: infrastruktura transportu publicznego, zakup taboru, systemy zarządzania ruchem (ITS), działania związane z ułatwianiem podróży multimodalnych, polityką parkingową („</w:t>
            </w:r>
            <w:proofErr w:type="spellStart"/>
            <w:r w:rsidRPr="006E0FC0">
              <w:rPr>
                <w:rFonts w:ascii="Times New Roman" w:hAnsi="Times New Roman" w:cs="Times New Roman"/>
                <w:sz w:val="20"/>
              </w:rPr>
              <w:t>park&amp;ride</w:t>
            </w:r>
            <w:proofErr w:type="spellEnd"/>
            <w:r w:rsidRPr="006E0FC0">
              <w:rPr>
                <w:rFonts w:ascii="Times New Roman" w:hAnsi="Times New Roman" w:cs="Times New Roman"/>
                <w:sz w:val="20"/>
              </w:rPr>
              <w:t>”, „</w:t>
            </w:r>
            <w:proofErr w:type="spellStart"/>
            <w:r w:rsidRPr="006E0FC0">
              <w:rPr>
                <w:rFonts w:ascii="Times New Roman" w:hAnsi="Times New Roman" w:cs="Times New Roman"/>
                <w:sz w:val="20"/>
              </w:rPr>
              <w:t>bike&amp;ride</w:t>
            </w:r>
            <w:proofErr w:type="spellEnd"/>
            <w:r w:rsidRPr="006E0FC0">
              <w:rPr>
                <w:rFonts w:ascii="Times New Roman" w:hAnsi="Times New Roman" w:cs="Times New Roman"/>
                <w:sz w:val="20"/>
              </w:rPr>
              <w:t>”, „</w:t>
            </w:r>
            <w:proofErr w:type="spellStart"/>
            <w:r w:rsidRPr="006E0FC0">
              <w:rPr>
                <w:rFonts w:ascii="Times New Roman" w:hAnsi="Times New Roman" w:cs="Times New Roman"/>
                <w:sz w:val="20"/>
              </w:rPr>
              <w:t>kiss&amp;ride</w:t>
            </w:r>
            <w:proofErr w:type="spellEnd"/>
            <w:r w:rsidRPr="006E0FC0">
              <w:rPr>
                <w:rFonts w:ascii="Times New Roman" w:hAnsi="Times New Roman" w:cs="Times New Roman"/>
                <w:sz w:val="20"/>
              </w:rPr>
              <w:t xml:space="preserve">”) oraz </w:t>
            </w:r>
            <w:proofErr w:type="spellStart"/>
            <w:r w:rsidRPr="006E0FC0">
              <w:rPr>
                <w:rFonts w:ascii="Times New Roman" w:hAnsi="Times New Roman" w:cs="Times New Roman"/>
                <w:sz w:val="20"/>
              </w:rPr>
              <w:t>priorytetyzacją</w:t>
            </w:r>
            <w:proofErr w:type="spellEnd"/>
            <w:r w:rsidRPr="006E0FC0">
              <w:rPr>
                <w:rFonts w:ascii="Times New Roman" w:hAnsi="Times New Roman" w:cs="Times New Roman"/>
                <w:sz w:val="20"/>
              </w:rPr>
              <w:t xml:space="preserve"> ruchu pieszego i rowerowego (rozwój koncepcji „</w:t>
            </w:r>
            <w:proofErr w:type="spellStart"/>
            <w:r w:rsidRPr="006E0FC0">
              <w:rPr>
                <w:rFonts w:ascii="Times New Roman" w:hAnsi="Times New Roman" w:cs="Times New Roman"/>
                <w:sz w:val="20"/>
              </w:rPr>
              <w:t>bike&amp;ride</w:t>
            </w:r>
            <w:proofErr w:type="spellEnd"/>
            <w:r w:rsidRPr="006E0FC0">
              <w:rPr>
                <w:rFonts w:ascii="Times New Roman" w:hAnsi="Times New Roman" w:cs="Times New Roman"/>
                <w:sz w:val="20"/>
              </w:rPr>
              <w:t xml:space="preserve">” wraz z niezbędną infrastrukturą oraz systemów rowerów publicznych/miejskich), działania mające za zadanie zmniejszenie zatłoczenia miast i ograniczenie ruchu samochodowego w centrach miast (np. ograniczenia w ruchu samochodowym w centrach miast, </w:t>
            </w:r>
            <w:proofErr w:type="spellStart"/>
            <w:r w:rsidRPr="006E0FC0">
              <w:rPr>
                <w:rFonts w:ascii="Times New Roman" w:hAnsi="Times New Roman" w:cs="Times New Roman"/>
                <w:sz w:val="20"/>
              </w:rPr>
              <w:t>buspasy</w:t>
            </w:r>
            <w:proofErr w:type="spellEnd"/>
            <w:r w:rsidRPr="006E0FC0">
              <w:rPr>
                <w:rFonts w:ascii="Times New Roman" w:hAnsi="Times New Roman" w:cs="Times New Roman"/>
                <w:sz w:val="20"/>
              </w:rPr>
              <w:t xml:space="preserve">, priorytety w ruchu miejskim dla środków komunikacji publicznej) </w:t>
            </w:r>
          </w:p>
          <w:p w:rsidR="006E0FC0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realizacja pozostałych inwestycji wynikających z planów gospodarki niskoemisyjnej, np. energooszczędne oświetlenie uliczne </w:t>
            </w:r>
          </w:p>
          <w:p w:rsidR="008337D9" w:rsidRPr="008337D9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 działania informacyjno-promocyjne (wyłącznie jako część powyższych projektów)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2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przewozów pasażerów komunikacją miejską na 1 mieszkańca obszarów miejskich – szt.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2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Długość wybudowanych ścieżek rowerowych – km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2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zakupionych jednostek taboru pasażerskiego w publicznym transporcie zbiorowym komunikacji miejskiej – szt.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2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 xml:space="preserve">Liczba zainstalowanych inteligentnych systemów transportowych – szt. </w:t>
            </w:r>
          </w:p>
          <w:p w:rsidR="008337D9" w:rsidRPr="008337D9" w:rsidRDefault="008337D9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t>PI 6b Inwestowanie w sektor gospodarki wodnej celem wypełnienia zobowiązań określonych w dorobku prawnym Unii w zakresie środowiska oraz zaspokojenia wykraczających poza te zobowiązania potrzeb inwestycyjnych, określonych przez państwa członkowskie</w:t>
            </w:r>
          </w:p>
          <w:p w:rsidR="006E0FC0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kompleksowe projekty obejmujące budowę i modernizację sieci kanalizacyjnej, budowę i modernizację oczyszczalni ścieków </w:t>
            </w:r>
          </w:p>
          <w:p w:rsidR="006E0FC0" w:rsidRDefault="006E0FC0" w:rsidP="006E0FC0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 inwestycje związane z zaopatrzeniem w wodę wyłącznie w ramach kompleksowych projektów gospodarki wodno-ściekowej </w:t>
            </w:r>
          </w:p>
          <w:p w:rsidR="008337D9" w:rsidRDefault="006E0FC0" w:rsidP="006E0FC0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 budowa przyzagrodowych oczyszczalni ścieków</w:t>
            </w:r>
          </w:p>
          <w:p w:rsidR="006E0FC0" w:rsidRPr="008337D9" w:rsidRDefault="006E0FC0" w:rsidP="006E0FC0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6E0FC0">
              <w:rPr>
                <w:rFonts w:ascii="Times New Roman" w:hAnsi="Times New Roman" w:cs="Times New Roman"/>
                <w:sz w:val="20"/>
              </w:rPr>
              <w:t>dokumentem stanowiącym podstawę do wyboru projektów będzie Krajowy Program Oczyszczania Ścieków Komunalnych (KPOŚK) w aglomeracjach od 2 tys. do 10 tys. RLM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lastRenderedPageBreak/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Odsetek ludności korzystającej z oczyszczalni ścieków – %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lastRenderedPageBreak/>
              <w:t xml:space="preserve">Liczba dodatkowych osób korzystających z ulepszonego oczyszczania ścieków – RLM 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 xml:space="preserve">Liczba dodatkowych osób korzystających z ulepszonego zaopatrzenia w wodę – osoby </w:t>
            </w:r>
          </w:p>
          <w:p w:rsidR="008337D9" w:rsidRPr="008337D9" w:rsidRDefault="008337D9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lastRenderedPageBreak/>
              <w:t>PI 6c Zachowanie, ochrona, promowanie i rozwój dziedzictwa naturalnego i kulturowego</w:t>
            </w:r>
          </w:p>
          <w:p w:rsidR="006E0FC0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projekty infrastrukturalne realizowane w instytucjach kultury, bibliotekach, archiwach, muzeach, obiektach i na obszarach zabytkowych, obszarach poprzemysłowych o wartościach historycznych </w:t>
            </w:r>
          </w:p>
          <w:p w:rsidR="006E0FC0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konserwacja zabytków ruchomych i materiałów archiwalnych stanowiących dziedzictwo dokumentacyjne </w:t>
            </w:r>
          </w:p>
          <w:p w:rsidR="008337D9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>projekty związane z organizacja imprez kulturalnych, które wykazują znaczny wpływ na gospodarkę regionalną i wykazują się długofalowymi korzyściami</w:t>
            </w:r>
          </w:p>
          <w:p w:rsidR="006E0FC0" w:rsidRPr="008337D9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6E0FC0">
              <w:rPr>
                <w:rFonts w:ascii="Times New Roman" w:hAnsi="Times New Roman" w:cs="Times New Roman"/>
                <w:sz w:val="20"/>
              </w:rPr>
              <w:t>wsparcie nie będzie kierowane na budowę od podstaw nowej infrastruktury kulturalnej)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Zwiedzający muzea i oddziały w gestii samorządu gmin, powiatów i miast na prawach powiatu – osoby/1 000 mieszkańców</w:t>
            </w:r>
          </w:p>
          <w:p w:rsidR="0033425D" w:rsidRPr="008337D9" w:rsidRDefault="0033425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3425D" w:rsidRDefault="0033425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3425D" w:rsidRDefault="0033425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4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Wzrost oczekiwanej liczby odwiedzin w objętych wsparciem miejscach należących do dziedzictwa kulturalnego i naturalnego oraz stanowiących atrakcje turystyczne – odwiedziny/rok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4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zabytków nieruchomych objętych wsparciem – szt.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4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instytucji kultury objętych wsparciem – szt.</w:t>
            </w:r>
          </w:p>
          <w:p w:rsidR="008337D9" w:rsidRPr="008337D9" w:rsidRDefault="008337D9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t>PI 6d Ochrona i przywrócenie różnorodności biologicznej, ochrona i rekultywacja gleby oraz wspieranie usług ekosystemowych, także poprzez program „Natura 2000” i zieloną infrastrukturę</w:t>
            </w:r>
          </w:p>
          <w:p w:rsidR="006E0FC0" w:rsidRDefault="006E0FC0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przedsięwzięcia zwiększające potencjał przyrodniczy regionu poprzez działania bezpośrednio związane z ochroną siedlisk i gatunków w szczególności na terenach parków krajobrazowych i rezerwatów przyrody, </w:t>
            </w:r>
            <w:proofErr w:type="spellStart"/>
            <w:r w:rsidRPr="006E0FC0">
              <w:rPr>
                <w:rFonts w:ascii="Times New Roman" w:hAnsi="Times New Roman" w:cs="Times New Roman"/>
                <w:sz w:val="20"/>
              </w:rPr>
              <w:t>renaturalizacją</w:t>
            </w:r>
            <w:proofErr w:type="spellEnd"/>
            <w:r w:rsidRPr="006E0FC0">
              <w:rPr>
                <w:rFonts w:ascii="Times New Roman" w:hAnsi="Times New Roman" w:cs="Times New Roman"/>
                <w:sz w:val="20"/>
              </w:rPr>
              <w:t xml:space="preserve"> oraz projekty w zakresie zwalczania gatunków inwazyjnych obcych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E0FC0" w:rsidRDefault="006E0FC0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działania rozwijające infrastrukturę związaną z właściwym ukierunkowaniem ruchu turystycznego na obszarach cennych przyrodniczo, zapewniającą zarówno lepszą ochronę wartości przyrodniczych przed nadmierną i niekontrolowaną presją turystów, a jednocześnie przyczyniającą się do zwiększenia atrakcyjności turystycznej tych obszarów </w:t>
            </w:r>
          </w:p>
          <w:p w:rsidR="006E0FC0" w:rsidRDefault="006E0FC0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 centra ochrony różnorodności biologicznej oraz ośrodki prowadzące działalność w zakresie edukacji ekologicznej </w:t>
            </w:r>
          </w:p>
          <w:p w:rsidR="006E0FC0" w:rsidRDefault="006E0FC0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 xml:space="preserve">tworzenie planów ochrony dla obszarów chronionych </w:t>
            </w:r>
          </w:p>
          <w:p w:rsidR="008337D9" w:rsidRPr="008337D9" w:rsidRDefault="006E0FC0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>działania informacyjno-edukacyjne, podnoszące świadomość mieszkańców w zakresie właściwych zachowań społecznych w odniesieniu do dziedzictwa przyrodniczego regionu, realizowane w sposób komplementarny i uzupełniający do kampanii ogólnopolskich</w:t>
            </w:r>
          </w:p>
          <w:p w:rsidR="008337D9" w:rsidRPr="008337D9" w:rsidRDefault="008337D9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 xml:space="preserve">Udział powierzchni obszarów chronionych w powierzchni ogółem – % 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Powierzchnia siedlisk wspieranych w celu uzyskania lepszego statusu ochrony – ha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wspartych form ochrony przyrody – szt.</w:t>
            </w:r>
          </w:p>
          <w:p w:rsidR="008337D9" w:rsidRPr="008337D9" w:rsidRDefault="008337D9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lastRenderedPageBreak/>
              <w:t>PI 9b Wspieranie rewitalizacji fizycznej, gospodarczej i społecznej ubogich społeczności na obszarach miejskich i wiejskich</w:t>
            </w:r>
          </w:p>
          <w:p w:rsidR="008337D9" w:rsidRPr="008337D9" w:rsidRDefault="006E0FC0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6E0FC0">
              <w:rPr>
                <w:rFonts w:ascii="Times New Roman" w:hAnsi="Times New Roman" w:cs="Times New Roman"/>
                <w:sz w:val="20"/>
              </w:rPr>
              <w:t>projekty związane z rewitalizacją obszarów miejskich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E0FC0">
              <w:rPr>
                <w:rFonts w:ascii="Times New Roman" w:hAnsi="Times New Roman" w:cs="Times New Roman"/>
                <w:sz w:val="20"/>
              </w:rPr>
              <w:t>wsparcie zostanie skierowane wyłącznie na realizację działań wynikających z Lokalnych Programów Rewitalizacji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 ożywienia społeczno – gospodarczego na obszarach miejskich – %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Otwarta przestrzeń utworzona lub rekultywowana na obszarach miejskich – m</w:t>
            </w:r>
            <w:r w:rsidRPr="008337D9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Budynki publiczne lub komercyjne wybudowane lub wyremontowane na obszarach miejskich – m</w:t>
            </w:r>
            <w:r w:rsidRPr="008337D9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Wyremontowane budynki mieszkalne na obszarach miejskich – jednostki mieszkalne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obiektów infrastruktury zlokalizowanych na rewitalizowanych obszarach – szt.</w:t>
            </w:r>
          </w:p>
          <w:p w:rsidR="008337D9" w:rsidRPr="008337D9" w:rsidRDefault="008337D9" w:rsidP="00C95A56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37D9" w:rsidRPr="008337D9" w:rsidTr="003F281D">
        <w:trPr>
          <w:trHeight w:val="2686"/>
        </w:trPr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t>PI 10a Inwestowanie w kształcenie, szkolenie oraz szkolenie zawodowe na rzecz zdobywania, umiejętności i uczenia się przez całe życie poprzez rozwój infrastruktury edukacyjnej i szkoleniowej</w:t>
            </w:r>
          </w:p>
          <w:p w:rsidR="003F281D" w:rsidRPr="003F281D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tworzenie nowych miejsc w przedszkolach lub innych formach edukacji przedszkolnej </w:t>
            </w:r>
          </w:p>
          <w:p w:rsidR="003F281D" w:rsidRPr="003F281D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rozwój infrastruktury edukacyjnej i szkoleniowej szkół oraz placówek systemu oświaty prowadzących kształcenie zawodowe i ustawiczne </w:t>
            </w:r>
          </w:p>
          <w:p w:rsidR="003F281D" w:rsidRPr="003F281D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tworzenie oraz unowocześnianie pracowni kształcenia praktycznego oraz warsztatów szkolnych szkół, centrów i placówek prowadzących kształcenie zawodowe i ustawiczne </w:t>
            </w:r>
          </w:p>
          <w:p w:rsidR="003F281D" w:rsidRPr="003F281D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>- inwestycje w infrastrukturę wyższego szkolnictwa zawodowego</w:t>
            </w:r>
          </w:p>
          <w:p w:rsidR="003F281D" w:rsidRPr="003F281D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inwestycje w zakresie adaptacji i funkcjonalnego dostosowania szkół, centrów i placówek prowadzących kształcenie zawodowe i ustawiczne w branżach zgodnych z potrzebami rynku pracy, w tym z inteligentnymi specjalizacjami </w:t>
            </w:r>
          </w:p>
          <w:p w:rsidR="008337D9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>- projekty e-edukacji</w:t>
            </w:r>
          </w:p>
          <w:p w:rsidR="003F281D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3F281D">
              <w:rPr>
                <w:rFonts w:ascii="Times New Roman" w:hAnsi="Times New Roman" w:cs="Times New Roman"/>
                <w:sz w:val="20"/>
              </w:rPr>
              <w:t>budowa nowych obiektów na potrzeby świadczenia usług edukacji przedszkolnej będzie możliwa jedynie przy udokumentowanym braku możliwości adaptacji istniejących obiektów)</w:t>
            </w:r>
          </w:p>
          <w:p w:rsidR="003F281D" w:rsidRPr="008337D9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7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Zdawalność egzaminów potwierdzających kwalifikacje zawodowe wśród uczniów ZSZ – %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7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 xml:space="preserve">Odsetek dzieci w wieku 3-4 lata objętych wychowaniem przedszkolnym – % 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miejsc w objętej wsparciem infrastrukturze w zakresie opieki nad dziećmi lub infrastrukturze edukacyjnej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miejsc w infrastrukturze kształcenia zawodowego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miejsc w infrastrukturze przedszkolnej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obiektów infrastruktury jednostek organizacyjnych systemu oświat – szt.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425D" w:rsidRPr="008337D9" w:rsidTr="0033425D">
        <w:tc>
          <w:tcPr>
            <w:tcW w:w="5000" w:type="pct"/>
            <w:gridSpan w:val="2"/>
            <w:shd w:val="clear" w:color="auto" w:fill="F2F2F2" w:themeFill="background1" w:themeFillShade="F2"/>
          </w:tcPr>
          <w:p w:rsidR="0033425D" w:rsidRPr="0033425D" w:rsidRDefault="0033425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3425D">
              <w:rPr>
                <w:rFonts w:ascii="Times New Roman" w:hAnsi="Times New Roman" w:cs="Times New Roman"/>
                <w:b/>
                <w:sz w:val="20"/>
              </w:rPr>
              <w:t>Europejski Fundusz Społeczny</w:t>
            </w: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t>PI 8iv Równość mężczyzn i kobiet we wszystkich dziedzinach, w tym dostęp do zatrudnienia, rozwój kariery, godzenie życia zawodowego i prywatnego oraz promowanie równości wynagrodzeń za taką samą pracę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Działania aktywizacyjno-szkoleniowe wspomagające proces powrotu na rynek pracy po urlopach macierzyńskich/ rodzicielskich/wychowawczych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Finansowanie opieki nad dziećmi do lat 3 (np. voucher)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lastRenderedPageBreak/>
              <w:t>- Tworzenia instytucji opieki żłobkowej tj. żłobków, klubów dziecięcych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Wsparcie usług świadczonych przez dziennych opiekunów i nianie </w:t>
            </w:r>
          </w:p>
          <w:p w:rsidR="008337D9" w:rsidRPr="008337D9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>- Tworzenie dodatkowych miejsc opieki dla dzieci do lat 3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lastRenderedPageBreak/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9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osób, które powróciły na rynek pracy po przerwie związanej urodzeniem/wychowaniem dziecka, po opuszczeniu programu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9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 pozostających bez pracy, które znalazły pracę lub poszukują pracy po opuszczeniu programu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9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lastRenderedPageBreak/>
              <w:t xml:space="preserve">Liczba utworzonych miejsc opieki nad dziećmi w wieku do lat 3, które funkcjonują 2 lata po uzyskaniu dofinansowania ze środków EFS – % 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0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 opiekujących się dziećmi w wieku do lat 3 objętych wsparciem w programie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0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utworzonych miejsc opieki nad dziećmi w wieku do lat 3 – szt.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lastRenderedPageBreak/>
              <w:t>PI 9i Aktywne włączenie, w tym z myślą o promowaniu równych szans oraz aktywnego uczestnictwa i zwiększaniu szans na zatrudnienie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-Inwestycje w zindywidualizowane i kompleksowe działania umożliwiające aktywne włącznie społeczne a także powrót na rynek pracy, skierowane do osób i rodzin zagrożonych ubóstwem lub wykluczeniem społecznym, </w:t>
            </w:r>
          </w:p>
          <w:p w:rsidR="008337D9" w:rsidRPr="008337D9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>- Inwestycje w zindywidualizowane i kompleksowe działania na rzecz poprawy szans na zatrudnienie oraz zdolności funkcjonowania w społeczeństwie młodzieży wobec której zastosowano sądowy środek wychowawczy lub poprawczy.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 xml:space="preserve">Liczba osób zagrożonych ubóstwem lub wykluczeniem społecznym, które uzyskały kwalifikacje po opuszczeniu programu – osoby 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 zagrożonych ubóstwem lub wykluczeniem społecznym poszukujących pracy po opuszczeniu programu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 zagrożonych ubóstwem lub wykluczeniem społecznym pracujących po opuszczeniu programu (łącznie z pracującymi na własny rachunek)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1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 zagrożonych ubóstwem lub wykluczeniem społecznym pracujących 6 miesięcy po opuszczeniu programu (łącznie z pracującymi na własny rachunek) – osoby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2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 zagrożonych ubóstwem lub wykluczeniem społecznym objętych wsparciem w programie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2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 z niepełnosprawnościami objętych wsparciem w programie – osoby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t>PI 9iv Ułatwianie dostępu do przystępnych cenowo, trwałych oraz wysokiej jakości usług, w tym opieki zdrowotnej i usług socjalnych świadczonych w interesie ogólnym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-Działania na rzecz opracowania i wdrożenia programów wczesnego wykrywania wad rozwojowych i rehabilitacji dzieci z niepełnosprawnościami oraz dzieci i młodzieży zagrożonych niepełnosprawnością, w szczególności dedykowanych dla rodzin zagrożonych ubóstwem lub wykluczeniem społecznym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Poprawa dostępu do usług opiekuńczych nad osobami starszymi, z niepełnosprawnościami i zależnymi np.: tworzenie i rozwój oferty placówek wsparcia i opieki, niestacjonarnych usług opiekuńczych świadczonych w środowisku, podnoszenie umiejętności rodzin i opiekunów służące poprawie jakości usług opiekuńczych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Rozwój i poprawa dostępu do usług wsparcia rodziny i pieczy zastępczej np.: usługi </w:t>
            </w:r>
            <w:r w:rsidRPr="003F281D">
              <w:rPr>
                <w:rFonts w:ascii="Times New Roman" w:hAnsi="Times New Roman" w:cs="Times New Roman"/>
                <w:sz w:val="20"/>
              </w:rPr>
              <w:lastRenderedPageBreak/>
              <w:t xml:space="preserve">szkoleniowe, doradcze i specjalistyczne, poradnictwo rodzinne, wsparcie rozwoju rodzinnych form pieczy zastępczej </w:t>
            </w:r>
          </w:p>
          <w:p w:rsidR="008337D9" w:rsidRPr="008337D9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>- Rozwój usług społecznych wspierających proces aktywizacji społeczno-zawodowej dla osób zagrożonych ubóstwem lub wykluczeniem społecznym np.: usługi informacyjne, edukacyjne, terapeutyczne, poradnictwo prawne i psychologiczne; wsparcie osób bezdomnych; rozwój usług w mieszkaniach chronionych, wspomaganych, w tym dla osób starszych i z niepełnosprawnościami, częściowo lub całkowicie niesamodzielnych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lastRenderedPageBreak/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wspartych w programie miejsc świadczenia usług zdrowotnych istniejących po zakończeniu projektu – szt.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3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wspartych w programie miejsc świadczenia usług społecznych istniejących po zakończeniu projektu – szt.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4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 zagrożonych ubóstwem lub wykluczeniem społecznym objętych usługami zdrowotnymi świadczonymi w interesie ogólnym w programie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4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 xml:space="preserve">Liczba osób zagrożonych ubóstwem lub wykluczeniem społecznym </w:t>
            </w:r>
            <w:r w:rsidRPr="008337D9">
              <w:rPr>
                <w:rFonts w:ascii="Times New Roman" w:hAnsi="Times New Roman" w:cs="Times New Roman"/>
                <w:sz w:val="20"/>
              </w:rPr>
              <w:lastRenderedPageBreak/>
              <w:t>objętych usługami społecznymi świadczonymi w interesie ogólnym w programie – osoby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PI 10i Ograniczenie i zapobieganie przedwczesnemu kończeniu nauki szkolnej oraz zapewnianie równego dostępu do dobrej jakości wczesnej edukacji elementarnej oraz kształcenia podstawowego, gimnazjalnego i ponadgimnazjalnego, z uwzględnieniem formalnych, nieformalnych i </w:t>
            </w:r>
            <w:proofErr w:type="spellStart"/>
            <w:r w:rsidRPr="008337D9">
              <w:rPr>
                <w:rFonts w:ascii="Times New Roman" w:hAnsi="Times New Roman" w:cs="Times New Roman"/>
                <w:b/>
                <w:sz w:val="20"/>
              </w:rPr>
              <w:t>pozaformalnych</w:t>
            </w:r>
            <w:proofErr w:type="spellEnd"/>
            <w:r w:rsidRPr="008337D9">
              <w:rPr>
                <w:rFonts w:ascii="Times New Roman" w:hAnsi="Times New Roman" w:cs="Times New Roman"/>
                <w:b/>
                <w:sz w:val="20"/>
              </w:rPr>
              <w:t xml:space="preserve"> ścieżek kształcenia umożliwiających ponowne podjęcie kształcenia i szkolenia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Tworzenie placówek wychowania przedszkolnego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Wsparcie istniejących instytucji wychowania przedszkolnego w zakresie generowania nowych miejsc przedszkolnych oraz poprawy jakości świadczenia usług edukacyjnych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Podniesienie kompetencji lub kwalifikacji nauczycieli oraz pracowników pedagogicznych ukierunkowane na rozwój kompetencji kluczowych uczniów i indywidualnego podejścia do ucznia oraz nauczycieli i pracowników pedagogicznych placówek wychowania przedszkolnego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Rozwijanie kompetencji kluczowych w zakresie TIK, nauk matematyczno-przyrodniczych, języków obcych, kreatywności innowacyjności i pracy zespołowej (np. zajęcia pozalekcyjne i pozaszkolne)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>
              <w:t xml:space="preserve">- </w:t>
            </w:r>
            <w:r w:rsidRPr="003F281D">
              <w:rPr>
                <w:rFonts w:ascii="Times New Roman" w:hAnsi="Times New Roman" w:cs="Times New Roman"/>
                <w:sz w:val="20"/>
              </w:rPr>
              <w:t xml:space="preserve">Realizacja staży zawodowych dla uczniów szkół ponadgimnazjalnych we współpracy z pracodawcami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Zindywidualizowane wsparcie uczniów o specjalnych potrzebach edukacyjnych, w tym uczniów młodszych i niepełnosprawnych (np.: zajęci rozwijające uzdolnienia;, dydaktyczno-wyrównawcze, specjalistyczne, warsztaty, programy stypendialne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Programy w zakresie doradztwa edukacyjno-zawodowego </w:t>
            </w:r>
          </w:p>
          <w:p w:rsidR="003F281D" w:rsidRPr="003F281D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Wsparcie uczniów zagrożonych przedwczesnym wypadnięciem z systemu oświaty </w:t>
            </w:r>
          </w:p>
          <w:p w:rsidR="008337D9" w:rsidRPr="008337D9" w:rsidRDefault="003F281D" w:rsidP="003F281D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>- Tworzenie w szkołach warunków do nauczania eksperymentalnego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 xml:space="preserve">Liczba miejsc wychowania przedszkolnego, które funkcjonują 2 lata po uzyskania dofinansowania ze środków EFS – % 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nauczycieli, którzy uzyskali kwalifikacje lub nabyli kompetencje po opuszczeniu programu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uczniów, którzy nabyli kompetencje kluczowe po opuszczeniu programu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nauczycieli, którzy uzyskali kwalifikacje lub nabyli kompetencje po opuszczeniu programu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szkół i placówek systemu oświaty wykorzystujących sprzęt TIK do prowadzenia zajęć edukacyjnych – szt.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szkół, w których pracownie przedmiotowe wykorzystują doposażenie do prowadzenia zajęć edukacyjnych – szt.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5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nauczycieli prowadzących zajęcia z wykorzystaniem TIK dzięki EFS – %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dzieci objętych w ramach programu dodatkowymi zajęciami zwiększającymi ich szanse edukacyjne w edukacji przedszkolnej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miejsc wychowania przedszkolnego dofinansowanych w programie – szt.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nauczycieli objętych wsparciem w zakresie TIK w ramach programu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nauczycieli objętych wsparciem w programie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uczniów objętych wsparciem w zakresie rozwijania kompetencji kluczowych w programie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szkół i placówek systemu oświaty wyposażonych w ramach programu w sprzęt TIK do prowadzenia zajęć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Edukacyjnych – szt.</w:t>
            </w:r>
          </w:p>
          <w:p w:rsidR="008337D9" w:rsidRPr="0033425D" w:rsidRDefault="008337D9" w:rsidP="008337D9">
            <w:pPr>
              <w:pStyle w:val="Akapitzlist"/>
              <w:numPr>
                <w:ilvl w:val="0"/>
                <w:numId w:val="16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szkół, których pracownie przedmiotowe zostały doposażone w programie – szt.</w:t>
            </w:r>
          </w:p>
        </w:tc>
      </w:tr>
      <w:tr w:rsidR="008337D9" w:rsidRPr="008337D9" w:rsidTr="003F281D">
        <w:tc>
          <w:tcPr>
            <w:tcW w:w="2683" w:type="pct"/>
            <w:shd w:val="clear" w:color="auto" w:fill="F2F2F2" w:themeFill="background1" w:themeFillShade="F2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337D9">
              <w:rPr>
                <w:rFonts w:ascii="Times New Roman" w:hAnsi="Times New Roman" w:cs="Times New Roman"/>
                <w:b/>
                <w:sz w:val="20"/>
              </w:rPr>
              <w:lastRenderedPageBreak/>
              <w:t>PI 10iv Lepsze dostosowanie systemów kształcenia i szkolenia do potrzeb rynku pracy, ułatwianie przechodzenia z etapu kształcenia do etapu zatrudnienia oraz wzmacnianie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-Współpraca szkół i placówek kształcenia zawodowego z otoczeniem społeczno-gospodarczym np.: doradztwo edukacyjno-zawodowe, zajęci pozalekcyjne i pozaszkolne w zakresie przedmiotów zawodowych, wsparcie nauczycieli kształcenia zawodowego ukierunkowane na podniesienie kompetencji lub kwalifikacji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Realizacja wysokiej jakości staży i praktyk zawodowych dla uczniów i placówek kształcenia zawodowego </w:t>
            </w:r>
          </w:p>
          <w:p w:rsidR="003F281D" w:rsidRPr="003F281D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 xml:space="preserve">- Doradztwo edukacyjno-zawodowe służące diagnozie potrzeb i możliwości osób dorosłych zainteresowanych udziałem w kształceniu ustawicznym </w:t>
            </w:r>
          </w:p>
          <w:p w:rsidR="008337D9" w:rsidRPr="008337D9" w:rsidRDefault="003F281D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3F281D">
              <w:rPr>
                <w:rFonts w:ascii="Times New Roman" w:hAnsi="Times New Roman" w:cs="Times New Roman"/>
                <w:sz w:val="20"/>
              </w:rPr>
              <w:t>- Realizacja pozaszkolnych form kształcenia ustawicznego np. kursy zawodowe zakończone egzaminem potwierdzającym kwalifikacje w zawodzie bądź uzupełniające kwalifikacje</w:t>
            </w:r>
          </w:p>
        </w:tc>
        <w:tc>
          <w:tcPr>
            <w:tcW w:w="2317" w:type="pct"/>
          </w:tcPr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Rezultatu: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7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uczniów szkół i placówek kształcenia zawodowego objętych wsparciem w programie, uczestniczących w kształceniu lub pracujących po 6 miesiącach po ukończeniu nauki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7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nauczycieli kształcenia zawodowego oraz instruktorów praktycznej nauki zawodu, którzy uzyskali kwalifikacje lub nabyli kompetencje po opuszczeniu programu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7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szkół i placówek kształcenia zawodowego wykorzystujących doposażenie zakupione dzięki EFS – szt.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7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osób, które uzyskały kwalifikacje w ramach pozaszkolnych form kształcenia – osoby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Wskaźniki Produktu: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uczniów szkół i placówek kształcenia zawodowego uczestniczących w stażach i praktykach u pracodawcy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nauczycieli kształcenia zawodowego oraz instruktorów praktycznej nauki zawodu objętych wsparciem w programie – osoby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szkół i placówek kształcenia zawodowego doposażonych w sprzęt i materiały dydaktyczne niezbędne do realizacji kształcenia zawodowego – szt.</w:t>
            </w:r>
          </w:p>
          <w:p w:rsidR="008337D9" w:rsidRPr="008337D9" w:rsidRDefault="008337D9" w:rsidP="008337D9">
            <w:pPr>
              <w:pStyle w:val="Akapitzlist"/>
              <w:numPr>
                <w:ilvl w:val="0"/>
                <w:numId w:val="18"/>
              </w:num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8337D9">
              <w:rPr>
                <w:rFonts w:ascii="Times New Roman" w:hAnsi="Times New Roman" w:cs="Times New Roman"/>
                <w:sz w:val="20"/>
              </w:rPr>
              <w:t>Liczba osób uczestniczących w pozaszkolnych formach kształcenia w programie – osoby</w:t>
            </w:r>
          </w:p>
          <w:p w:rsidR="008337D9" w:rsidRPr="008337D9" w:rsidRDefault="008337D9" w:rsidP="008337D9">
            <w:pPr>
              <w:spacing w:line="23" w:lineRule="atLeas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1084" w:rsidRPr="00C95A56" w:rsidRDefault="00111084" w:rsidP="0033425D">
      <w:pPr>
        <w:spacing w:after="0" w:line="23" w:lineRule="atLeast"/>
        <w:jc w:val="both"/>
        <w:rPr>
          <w:rFonts w:ascii="Garamond" w:hAnsi="Garamond"/>
        </w:rPr>
      </w:pPr>
    </w:p>
    <w:sectPr w:rsidR="00111084" w:rsidRPr="00C95A56" w:rsidSect="008337D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ED" w:rsidRDefault="000C3EED" w:rsidP="00E2483E">
      <w:pPr>
        <w:spacing w:after="0" w:line="240" w:lineRule="auto"/>
      </w:pPr>
      <w:r>
        <w:separator/>
      </w:r>
    </w:p>
  </w:endnote>
  <w:endnote w:type="continuationSeparator" w:id="0">
    <w:p w:rsidR="000C3EED" w:rsidRDefault="000C3EED" w:rsidP="00E2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3717"/>
      <w:docPartObj>
        <w:docPartGallery w:val="Page Numbers (Bottom of Page)"/>
        <w:docPartUnique/>
      </w:docPartObj>
    </w:sdtPr>
    <w:sdtContent>
      <w:p w:rsidR="00E2483E" w:rsidRDefault="0041692B">
        <w:pPr>
          <w:pStyle w:val="Stopka"/>
          <w:jc w:val="right"/>
        </w:pPr>
        <w:r>
          <w:fldChar w:fldCharType="begin"/>
        </w:r>
        <w:r w:rsidR="00F64FBC">
          <w:instrText xml:space="preserve"> PAGE   \* MERGEFORMAT </w:instrText>
        </w:r>
        <w:r>
          <w:fldChar w:fldCharType="separate"/>
        </w:r>
        <w:r w:rsidR="00ED3D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83E" w:rsidRDefault="00E248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ED" w:rsidRDefault="000C3EED" w:rsidP="00E2483E">
      <w:pPr>
        <w:spacing w:after="0" w:line="240" w:lineRule="auto"/>
      </w:pPr>
      <w:r>
        <w:separator/>
      </w:r>
    </w:p>
  </w:footnote>
  <w:footnote w:type="continuationSeparator" w:id="0">
    <w:p w:rsidR="000C3EED" w:rsidRDefault="000C3EED" w:rsidP="00E24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4AD8"/>
    <w:multiLevelType w:val="hybridMultilevel"/>
    <w:tmpl w:val="2A3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A25"/>
    <w:multiLevelType w:val="hybridMultilevel"/>
    <w:tmpl w:val="9EE67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A4677"/>
    <w:multiLevelType w:val="hybridMultilevel"/>
    <w:tmpl w:val="1F4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1CBC"/>
    <w:multiLevelType w:val="hybridMultilevel"/>
    <w:tmpl w:val="6F488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27756"/>
    <w:multiLevelType w:val="hybridMultilevel"/>
    <w:tmpl w:val="EB94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E7F5E"/>
    <w:multiLevelType w:val="hybridMultilevel"/>
    <w:tmpl w:val="5CA00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1A32"/>
    <w:multiLevelType w:val="hybridMultilevel"/>
    <w:tmpl w:val="B60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A13AF"/>
    <w:multiLevelType w:val="hybridMultilevel"/>
    <w:tmpl w:val="A454C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E27F2"/>
    <w:multiLevelType w:val="hybridMultilevel"/>
    <w:tmpl w:val="6B342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80149"/>
    <w:multiLevelType w:val="hybridMultilevel"/>
    <w:tmpl w:val="A3825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B529B"/>
    <w:multiLevelType w:val="hybridMultilevel"/>
    <w:tmpl w:val="84BCC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C3379"/>
    <w:multiLevelType w:val="hybridMultilevel"/>
    <w:tmpl w:val="C902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57A4F"/>
    <w:multiLevelType w:val="hybridMultilevel"/>
    <w:tmpl w:val="F02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B5C3D"/>
    <w:multiLevelType w:val="hybridMultilevel"/>
    <w:tmpl w:val="CAF4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F0088"/>
    <w:multiLevelType w:val="hybridMultilevel"/>
    <w:tmpl w:val="A3B49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303E8"/>
    <w:multiLevelType w:val="hybridMultilevel"/>
    <w:tmpl w:val="34169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E6A60"/>
    <w:multiLevelType w:val="hybridMultilevel"/>
    <w:tmpl w:val="7E480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D16FD"/>
    <w:multiLevelType w:val="hybridMultilevel"/>
    <w:tmpl w:val="1F9E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11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7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C05"/>
    <w:rsid w:val="000C3EED"/>
    <w:rsid w:val="00111084"/>
    <w:rsid w:val="00114472"/>
    <w:rsid w:val="00290D8D"/>
    <w:rsid w:val="0033425D"/>
    <w:rsid w:val="00361750"/>
    <w:rsid w:val="00383919"/>
    <w:rsid w:val="003A3419"/>
    <w:rsid w:val="003F281D"/>
    <w:rsid w:val="003F3439"/>
    <w:rsid w:val="0041692B"/>
    <w:rsid w:val="005C2C05"/>
    <w:rsid w:val="006E0FC0"/>
    <w:rsid w:val="00760560"/>
    <w:rsid w:val="00782E96"/>
    <w:rsid w:val="008336F8"/>
    <w:rsid w:val="008337D9"/>
    <w:rsid w:val="008531FA"/>
    <w:rsid w:val="009C74F6"/>
    <w:rsid w:val="00A41A38"/>
    <w:rsid w:val="00AE5298"/>
    <w:rsid w:val="00B61500"/>
    <w:rsid w:val="00BB46E1"/>
    <w:rsid w:val="00BC1DC8"/>
    <w:rsid w:val="00C557D0"/>
    <w:rsid w:val="00C80F4E"/>
    <w:rsid w:val="00C95A56"/>
    <w:rsid w:val="00CE1A06"/>
    <w:rsid w:val="00D573C1"/>
    <w:rsid w:val="00E028BB"/>
    <w:rsid w:val="00E2483E"/>
    <w:rsid w:val="00ED3D0B"/>
    <w:rsid w:val="00F64FBC"/>
    <w:rsid w:val="00FC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A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2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483E"/>
  </w:style>
  <w:style w:type="paragraph" w:styleId="Stopka">
    <w:name w:val="footer"/>
    <w:basedOn w:val="Normalny"/>
    <w:link w:val="StopkaZnak"/>
    <w:uiPriority w:val="99"/>
    <w:unhideWhenUsed/>
    <w:rsid w:val="00E2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3E"/>
  </w:style>
  <w:style w:type="table" w:styleId="Tabela-Siatka">
    <w:name w:val="Table Grid"/>
    <w:basedOn w:val="Standardowy"/>
    <w:uiPriority w:val="59"/>
    <w:rsid w:val="0083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2582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"Karolina  Karska" &lt;karska@2kprojekt.com.pl&gt;</dc:creator>
  <cp:keywords/>
  <dc:description/>
  <cp:lastModifiedBy>Darek</cp:lastModifiedBy>
  <cp:revision>2</cp:revision>
  <dcterms:created xsi:type="dcterms:W3CDTF">2015-04-17T10:27:00Z</dcterms:created>
  <dcterms:modified xsi:type="dcterms:W3CDTF">2015-04-17T10:27:00Z</dcterms:modified>
</cp:coreProperties>
</file>